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БЕЛОКОЛОДЕЗЬСКОГО СЕЛЬСКОГО ПОСЕЛЕНИЯ</w:t>
      </w:r>
    </w:p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533694" w:rsidRDefault="00533694" w:rsidP="005336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694" w:rsidRDefault="00533694" w:rsidP="00533694">
      <w:pPr>
        <w:jc w:val="both"/>
        <w:rPr>
          <w:sz w:val="28"/>
          <w:szCs w:val="28"/>
        </w:rPr>
      </w:pPr>
    </w:p>
    <w:p w:rsidR="00533694" w:rsidRDefault="00533694" w:rsidP="00533694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49</w:t>
      </w:r>
    </w:p>
    <w:p w:rsidR="00533694" w:rsidRDefault="00533694" w:rsidP="0053369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533694" w:rsidRDefault="00533694" w:rsidP="00533694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33694" w:rsidTr="00533694">
        <w:tc>
          <w:tcPr>
            <w:tcW w:w="5495" w:type="dxa"/>
            <w:hideMark/>
          </w:tcPr>
          <w:p w:rsidR="00533694" w:rsidRDefault="005336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Белоколодезьского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26 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Белоколодезьского сельского поселения Колпнянского района с заявителями при оказании муниципальных услуг администрация Белоколодезьского сельского поселения  Колпнянского района Орловской области 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Белоколодезьского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26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 Заявителями предоставляются следующие документы в соответствии с частью 2 статьи 26 Жилищного кодекса РФ: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4) технический паспорт переустраиваемого и (или) перепланируемого жилого помещения;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технический паспорт переустраиваемого и (или) перепланируемого жилого помещения;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</w:r>
      <w:r>
        <w:rPr>
          <w:rFonts w:eastAsiaTheme="minorHAnsi"/>
          <w:sz w:val="28"/>
          <w:szCs w:val="28"/>
          <w:lang w:eastAsia="en-US"/>
        </w:rPr>
        <w:lastRenderedPageBreak/>
        <w:t>котором оно находится, является памятником архитектуры, истории или культуры.</w:t>
      </w:r>
    </w:p>
    <w:p w:rsidR="00533694" w:rsidRDefault="00533694" w:rsidP="0053369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(www.kolpna-adm.ru), на региональном и федеральном порталах.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Белоколодезьского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ФЗ в том числе в следующих случаях: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Белоколодезьского сельского поселения Колпнянского района для предоставления муниципальной услуги;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Белоколодезьского сельского поселения Колпнянского района для предоставления муниципальной услуги, у заявителя;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Белоколодезьского сельского поселения Колпнянского района;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Белоколодезьского сельского поселения Колпнянского района;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заявителем;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Ответ по результатам рассмотрения жалобы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не позднее дня, следующего за днем принятия решения, в письменной форме.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Заявитель вправе получить в администрации Белоколодезьского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Колпнянского района информацию и документы, необходимые для обоснования и рассмотрения жалобы.».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33694" w:rsidRDefault="00533694" w:rsidP="0053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33694" w:rsidRDefault="00533694" w:rsidP="0053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А.Ф. Тутов</w:t>
      </w: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94" w:rsidRDefault="00533694" w:rsidP="00533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15" w:rsidRDefault="00A73815"/>
    <w:sectPr w:rsidR="00A73815" w:rsidSect="00A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33694"/>
    <w:rsid w:val="00533694"/>
    <w:rsid w:val="00A7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3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49_2016(Belokolodezskoe).docx" TargetMode="External"/><Relationship Id="rId13" Type="http://schemas.openxmlformats.org/officeDocument/2006/relationships/hyperlink" Target="file:///H:\&#1053;&#1055;&#1040;%20&#1089;%20&#1069;&#1062;&#1055;%2018.11.2016%20&#1075;&#1086;&#1076;&#1072;\pa_0049_2016(Belokolodez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49_2016(Belokolodezskoe).docx" TargetMode="External"/><Relationship Id="rId12" Type="http://schemas.openxmlformats.org/officeDocument/2006/relationships/hyperlink" Target="file:///H:\&#1053;&#1055;&#1040;%20&#1089;%20&#1069;&#1062;&#1055;%2018.11.2016%20&#1075;&#1086;&#1076;&#1072;\pa_0049_2016(Belokolodez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49_2016(Belokolodez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49_2016(Belokolodez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2016-11-17T18:55:00Z</dcterms:created>
  <dcterms:modified xsi:type="dcterms:W3CDTF">2016-11-17T18:55:00Z</dcterms:modified>
</cp:coreProperties>
</file>