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C1" w:rsidRPr="00F606C1" w:rsidRDefault="00F606C1" w:rsidP="00F606C1">
      <w:pPr>
        <w:widowControl/>
        <w:suppressAutoHyphens w:val="0"/>
        <w:spacing w:before="225" w:after="225" w:line="30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 w:bidi="ar-SA"/>
        </w:rPr>
      </w:pPr>
      <w:r w:rsidRPr="00F606C1">
        <w:rPr>
          <w:rFonts w:ascii="Tahoma" w:eastAsia="Times New Roman" w:hAnsi="Tahoma" w:cs="Tahoma"/>
          <w:b/>
          <w:bCs/>
          <w:color w:val="000000"/>
          <w:kern w:val="36"/>
          <w:lang w:eastAsia="ru-RU" w:bidi="ar-SA"/>
        </w:rPr>
        <w:t>Положение об АТК в муниципальных образованиях Орловской области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right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УТВЕРЖДЕНО</w:t>
      </w: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br/>
        <w:t>Председателем Антитеррористической</w:t>
      </w: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br/>
        <w:t>комиссии в Орловской области,</w:t>
      </w: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br/>
        <w:t>временно исполняющим обязанности</w:t>
      </w: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br/>
        <w:t>Губернатора и Председателя</w:t>
      </w: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br/>
        <w:t>Правительства Орловской области</w:t>
      </w: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br/>
        <w:t>А. Е. Клычковым</w:t>
      </w: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br/>
        <w:t>15 августа 2018 года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center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 w:bidi="ar-SA"/>
        </w:rPr>
      </w:pPr>
      <w:r w:rsidRPr="00F606C1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 w:bidi="ar-SA"/>
        </w:rPr>
        <w:t>Положение</w:t>
      </w:r>
      <w:r w:rsidRPr="00F606C1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 w:bidi="ar-SA"/>
        </w:rPr>
        <w:br/>
        <w:t>об антитеррористической комиссии</w:t>
      </w:r>
      <w:r w:rsidRPr="00F606C1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 w:bidi="ar-SA"/>
        </w:rPr>
        <w:br/>
        <w:t>в муниципальном образовании Орловской области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1. Антитеррористическая комиссия в муниципальном образовании Орловской области (далее – Комиссия) является коллегиальным органом, сформированным для организации взаимодействия территориальных федеральных органов исполнительной власти по Орловской области, органов исполнительной государственной власти специальной компетенции Орловской области и органов местного самоуправления Орловской области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в Орловской области (далее – АТК в Орловской области).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АТК в Орловской области, а также настоящим Положением.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3. Руководителем Комиссии по должности является глава муниципального образования (Председатель Комиссии) Орловской области.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В случае, когда высшее должностное лицо муниципального образования (глава муниципального образования)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муниципального образования Орловской области.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4. Основной задачей Комиссии является организация взаимодействия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 и органов местного самоуправления Орловской области по профилактике терроризма, а также по минимизации и (или) ликвидации последствий его проявлений и реализация решений АТК в Орловской области на территории муниципального образования (нескольких муниципальных образований).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5. Комиссия осуществляет следующие основные функции: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а) выработка мер по профилактике терроризма, а также по минимизации и (или) ликвидации последствий его проявлений на территории муниципального образования (нескольких муниципальных образований) Орловской области;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б) обеспечение согласованности действий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 и органов местного самоуправления Орловской области в ходе: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участия органов местного самоуправления Орловской области в мероприятиях по профилактике терроризма,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Орловской области;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в) 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Орловской области;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г) участие в мониторинге политических, социально-экономических и иных процессов, оказывающих влияние на ситуацию в области противодействия терроризму, осуществляемом АТК в Орловской области;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lastRenderedPageBreak/>
        <w:t>д) контроль за исполнением решений Комиссии;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е) организация исполнения органами местного самоуправления решений АТК в Орловской области.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6. Комиссия для решения возложенной на нее задачи имеет право: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а) принимать решения по вопросам, отнесенным к ее компетенции;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области, общественных объединений, организаций (независимо от форм собственности) и должностных лиц;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в) создавать рабочие группы для изучения вопросов, отнесенных к компетенции Комиссии;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области, а также представителей организаций и общественных объединений по согласованию с их руководителями;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д) вносить в установленном порядке предложения по вопросам, требующим решения АТК в Орловской области.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7. Комиссия строит свою работу во взаимодействии с оперативной группой в муниципальном образовании Орловской области,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Орловской области.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8. Комиссия осуществляет свою деятельность на плановой основе в соответствии с ее регламентом, утвержденным председателем АТК в Орловской области.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9. Комиссия информирует АТК в Орловской области по итогам своей деятельности не реже одного раза в полугодие, а также по итогам проведенных заседаний в порядке, установленном председателем АТК в Орловской области.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10. Для реализации решений Комиссии могут издаваться муниципальные правовые акты.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11. 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12. Секретарь (аппарат) Комиссии: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а) разрабатывает проекты планов работы Комиссии, решений Комиссии и отчетов о результатах деятельности Комиссии;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б) обеспечивает подготовку и проведение заседаний Комиссии;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в) осуществляет контроль исполнения поручений, содержащихся в решениях Комиссии;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г) 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на территории муниципального образования (нескольких муниципальных образований) Орловской области, оказывающих влияние на развитие ситуации в сфере профилактики терроризма;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д) обеспечивает взаимодействие Комиссии с АТК в Орловской области и ее аппаратом;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е) обеспечивает деятельность рабочих групп Комиссии;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ж) организует делопроизводство Комиссии.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13. Члены Комиссии обязаны: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организовать в рамках своих должностных полномочий выполнение решений Комиссии;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lastRenderedPageBreak/>
        <w:t>14. Члены Комиссии имеют право: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знакомиться с документами и материалами Комиссии, непосредственно касающимися ее деятельности;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голосовать на заседаниях Комиссии.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15. Комиссия имеет бланк со своим наименованием.</w:t>
      </w:r>
    </w:p>
    <w:p w:rsidR="00F606C1" w:rsidRPr="00F606C1" w:rsidRDefault="00F606C1" w:rsidP="00F606C1">
      <w:pPr>
        <w:widowControl/>
        <w:suppressAutoHyphens w:val="0"/>
        <w:spacing w:before="150" w:after="15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F606C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611E10" w:rsidRDefault="00611E10"/>
    <w:sectPr w:rsidR="00611E10" w:rsidSect="0061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6C1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71E7"/>
    <w:rsid w:val="00210021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84C"/>
    <w:rsid w:val="00417EDD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89A"/>
    <w:rsid w:val="00475BC6"/>
    <w:rsid w:val="004766DE"/>
    <w:rsid w:val="00477127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0F94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4664F"/>
    <w:rsid w:val="006500E9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1E9A"/>
    <w:rsid w:val="00662101"/>
    <w:rsid w:val="00662A07"/>
    <w:rsid w:val="00663035"/>
    <w:rsid w:val="00663E97"/>
    <w:rsid w:val="00665490"/>
    <w:rsid w:val="00665D75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B1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647D"/>
    <w:rsid w:val="007E665E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B78"/>
    <w:rsid w:val="00857473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737"/>
    <w:rsid w:val="00893776"/>
    <w:rsid w:val="00894B48"/>
    <w:rsid w:val="00896F5F"/>
    <w:rsid w:val="00897980"/>
    <w:rsid w:val="00897AD5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FD0"/>
    <w:rsid w:val="00986617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5C45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1B1"/>
    <w:rsid w:val="00A528CB"/>
    <w:rsid w:val="00A52A77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C28"/>
    <w:rsid w:val="00A64846"/>
    <w:rsid w:val="00A649A7"/>
    <w:rsid w:val="00A65C2A"/>
    <w:rsid w:val="00A67C45"/>
    <w:rsid w:val="00A71A33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3131"/>
    <w:rsid w:val="00AD3385"/>
    <w:rsid w:val="00AD3CC9"/>
    <w:rsid w:val="00AD49EA"/>
    <w:rsid w:val="00AD535C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E6B6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5231"/>
    <w:rsid w:val="00B1652A"/>
    <w:rsid w:val="00B17347"/>
    <w:rsid w:val="00B21E0D"/>
    <w:rsid w:val="00B2231D"/>
    <w:rsid w:val="00B2299B"/>
    <w:rsid w:val="00B23BF0"/>
    <w:rsid w:val="00B25430"/>
    <w:rsid w:val="00B30635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5DFA"/>
    <w:rsid w:val="00B5691E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E75F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1C5F"/>
    <w:rsid w:val="00C02802"/>
    <w:rsid w:val="00C02AFA"/>
    <w:rsid w:val="00C0316C"/>
    <w:rsid w:val="00C04206"/>
    <w:rsid w:val="00C05D31"/>
    <w:rsid w:val="00C0608B"/>
    <w:rsid w:val="00C06C12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2C3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9F"/>
    <w:rsid w:val="00C82FFD"/>
    <w:rsid w:val="00C8330F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92F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999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4E64"/>
    <w:rsid w:val="00E56565"/>
    <w:rsid w:val="00E57941"/>
    <w:rsid w:val="00E57AE4"/>
    <w:rsid w:val="00E60206"/>
    <w:rsid w:val="00E60D8E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F2F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06C1"/>
    <w:rsid w:val="00F62A59"/>
    <w:rsid w:val="00F62DE4"/>
    <w:rsid w:val="00F649DE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606C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6C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6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z1">
    <w:name w:val="z1"/>
    <w:basedOn w:val="a"/>
    <w:rsid w:val="00F606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6921</Characters>
  <Application>Microsoft Office Word</Application>
  <DocSecurity>0</DocSecurity>
  <Lines>57</Lines>
  <Paragraphs>16</Paragraphs>
  <ScaleCrop>false</ScaleCrop>
  <Company>Администрация Колпнянского р-на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2018-10-30T13:31:00Z</dcterms:created>
  <dcterms:modified xsi:type="dcterms:W3CDTF">2018-10-30T13:32:00Z</dcterms:modified>
</cp:coreProperties>
</file>